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C5" w:rsidRDefault="00FC78C5">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C78C5" w:rsidRDefault="00FC78C5">
      <w:pPr>
        <w:pStyle w:val="ConsPlusNormal"/>
        <w:jc w:val="both"/>
        <w:outlineLvl w:val="0"/>
      </w:pPr>
    </w:p>
    <w:p w:rsidR="00FC78C5" w:rsidRDefault="00FC78C5">
      <w:pPr>
        <w:pStyle w:val="ConsPlusNormal"/>
        <w:outlineLvl w:val="0"/>
      </w:pPr>
      <w:r>
        <w:t>Зарегистрировано в Минюсте России 14 марта 2025 г. N 81553</w:t>
      </w:r>
    </w:p>
    <w:p w:rsidR="00FC78C5" w:rsidRDefault="00FC78C5">
      <w:pPr>
        <w:pStyle w:val="ConsPlusNormal"/>
        <w:pBdr>
          <w:bottom w:val="single" w:sz="6" w:space="0" w:color="auto"/>
        </w:pBdr>
        <w:spacing w:before="100" w:after="100"/>
        <w:jc w:val="both"/>
        <w:rPr>
          <w:sz w:val="2"/>
          <w:szCs w:val="2"/>
        </w:rPr>
      </w:pPr>
    </w:p>
    <w:p w:rsidR="00FC78C5" w:rsidRDefault="00FC78C5">
      <w:pPr>
        <w:pStyle w:val="ConsPlusNormal"/>
        <w:jc w:val="both"/>
      </w:pPr>
    </w:p>
    <w:p w:rsidR="00FC78C5" w:rsidRDefault="00FC78C5">
      <w:pPr>
        <w:pStyle w:val="ConsPlusTitle"/>
        <w:jc w:val="center"/>
      </w:pPr>
      <w:r>
        <w:t>МИНИСТЕРСТВО ПРОСВЕЩЕНИЯ РОССИЙСКОЙ ФЕДЕРАЦИИ</w:t>
      </w:r>
    </w:p>
    <w:p w:rsidR="00FC78C5" w:rsidRDefault="00FC78C5">
      <w:pPr>
        <w:pStyle w:val="ConsPlusTitle"/>
        <w:jc w:val="center"/>
      </w:pPr>
    </w:p>
    <w:p w:rsidR="00FC78C5" w:rsidRDefault="00FC78C5">
      <w:pPr>
        <w:pStyle w:val="ConsPlusTitle"/>
        <w:jc w:val="center"/>
      </w:pPr>
      <w:r>
        <w:t>ПРИКАЗ</w:t>
      </w:r>
    </w:p>
    <w:p w:rsidR="00FC78C5" w:rsidRDefault="00FC78C5">
      <w:pPr>
        <w:pStyle w:val="ConsPlusTitle"/>
        <w:jc w:val="center"/>
      </w:pPr>
      <w:r>
        <w:t>от 4 марта 2025 г. N 171</w:t>
      </w:r>
    </w:p>
    <w:p w:rsidR="00FC78C5" w:rsidRDefault="00FC78C5">
      <w:pPr>
        <w:pStyle w:val="ConsPlusTitle"/>
        <w:jc w:val="center"/>
      </w:pPr>
    </w:p>
    <w:p w:rsidR="00FC78C5" w:rsidRDefault="00FC78C5">
      <w:pPr>
        <w:pStyle w:val="ConsPlusTitle"/>
        <w:jc w:val="center"/>
      </w:pPr>
      <w:r>
        <w:t>О ВНЕСЕНИИ ИЗМЕНЕНИЙ</w:t>
      </w:r>
    </w:p>
    <w:p w:rsidR="00FC78C5" w:rsidRDefault="00FC78C5">
      <w:pPr>
        <w:pStyle w:val="ConsPlusTitle"/>
        <w:jc w:val="center"/>
      </w:pPr>
      <w:r>
        <w:t>В ПОРЯДОК ПРИЕМА НА ОБУЧЕНИЕ ПО ОБРАЗОВАТЕЛЬНЫМ ПРОГРАММАМ</w:t>
      </w:r>
    </w:p>
    <w:p w:rsidR="00FC78C5" w:rsidRDefault="00FC78C5">
      <w:pPr>
        <w:pStyle w:val="ConsPlusTitle"/>
        <w:jc w:val="center"/>
      </w:pPr>
      <w:r>
        <w:t>НАЧАЛЬНОГО ОБЩЕГО, ОСНОВНОГО ОБЩЕГО И СРЕДНЕГО ОБЩЕГО</w:t>
      </w:r>
    </w:p>
    <w:p w:rsidR="00FC78C5" w:rsidRDefault="00FC78C5">
      <w:pPr>
        <w:pStyle w:val="ConsPlusTitle"/>
        <w:jc w:val="center"/>
      </w:pPr>
      <w:r>
        <w:t>ОБРАЗОВАНИЯ, УТВЕРЖДЕННЫЙ ПРИКАЗОМ МИНИСТЕРСТВА ПРОСВЕЩЕНИЯ</w:t>
      </w:r>
    </w:p>
    <w:p w:rsidR="00FC78C5" w:rsidRDefault="00FC78C5">
      <w:pPr>
        <w:pStyle w:val="ConsPlusTitle"/>
        <w:jc w:val="center"/>
      </w:pPr>
      <w:r>
        <w:t>РОССИЙСКОЙ ФЕДЕРАЦИИ ОТ 2 СЕНТЯБРЯ 2020 Г. N 458</w:t>
      </w:r>
    </w:p>
    <w:p w:rsidR="00FC78C5" w:rsidRDefault="00FC78C5">
      <w:pPr>
        <w:pStyle w:val="ConsPlusNormal"/>
        <w:jc w:val="both"/>
      </w:pPr>
    </w:p>
    <w:p w:rsidR="00FC78C5" w:rsidRDefault="00FC78C5">
      <w:pPr>
        <w:pStyle w:val="ConsPlusNormal"/>
        <w:ind w:firstLine="540"/>
        <w:jc w:val="both"/>
      </w:pPr>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C78C5" w:rsidRDefault="00FC78C5">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FC78C5" w:rsidRDefault="00FC78C5">
      <w:pPr>
        <w:pStyle w:val="ConsPlusNormal"/>
        <w:spacing w:before="220"/>
        <w:ind w:firstLine="540"/>
        <w:jc w:val="both"/>
      </w:pPr>
      <w:r>
        <w:t>2. Настоящий приказ вступает в силу с 1 апреля 2025 г. и действует до 1 марта 2026 года.</w:t>
      </w:r>
    </w:p>
    <w:p w:rsidR="00FC78C5" w:rsidRDefault="00FC78C5">
      <w:pPr>
        <w:pStyle w:val="ConsPlusNormal"/>
        <w:jc w:val="both"/>
      </w:pPr>
    </w:p>
    <w:p w:rsidR="00FC78C5" w:rsidRDefault="00FC78C5">
      <w:pPr>
        <w:pStyle w:val="ConsPlusNormal"/>
        <w:jc w:val="right"/>
      </w:pPr>
      <w:r>
        <w:t>Министр</w:t>
      </w:r>
    </w:p>
    <w:p w:rsidR="00FC78C5" w:rsidRDefault="00FC78C5">
      <w:pPr>
        <w:pStyle w:val="ConsPlusNormal"/>
        <w:jc w:val="right"/>
      </w:pPr>
      <w:r>
        <w:t>С.С.КРАВЦОВ</w:t>
      </w: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right"/>
        <w:outlineLvl w:val="0"/>
      </w:pPr>
      <w:r>
        <w:t>Утверждены</w:t>
      </w:r>
    </w:p>
    <w:p w:rsidR="00FC78C5" w:rsidRDefault="00FC78C5">
      <w:pPr>
        <w:pStyle w:val="ConsPlusNormal"/>
        <w:jc w:val="right"/>
      </w:pPr>
      <w:r>
        <w:t>приказом Министерства просвещения</w:t>
      </w:r>
    </w:p>
    <w:p w:rsidR="00FC78C5" w:rsidRDefault="00FC78C5">
      <w:pPr>
        <w:pStyle w:val="ConsPlusNormal"/>
        <w:jc w:val="right"/>
      </w:pPr>
      <w:r>
        <w:t>Российской Федерации</w:t>
      </w:r>
    </w:p>
    <w:p w:rsidR="00FC78C5" w:rsidRDefault="00FC78C5">
      <w:pPr>
        <w:pStyle w:val="ConsPlusNormal"/>
        <w:jc w:val="right"/>
      </w:pPr>
      <w:r>
        <w:t>от 4 марта 2025 г. N 171</w:t>
      </w:r>
    </w:p>
    <w:p w:rsidR="00FC78C5" w:rsidRDefault="00FC78C5">
      <w:pPr>
        <w:pStyle w:val="ConsPlusNormal"/>
        <w:jc w:val="both"/>
      </w:pPr>
    </w:p>
    <w:p w:rsidR="00FC78C5" w:rsidRDefault="00FC78C5">
      <w:pPr>
        <w:pStyle w:val="ConsPlusTitle"/>
        <w:jc w:val="center"/>
      </w:pPr>
      <w:bookmarkStart w:id="1" w:name="P31"/>
      <w:bookmarkEnd w:id="1"/>
      <w:r>
        <w:t>ИЗМЕНЕНИЯ,</w:t>
      </w:r>
    </w:p>
    <w:p w:rsidR="00FC78C5" w:rsidRDefault="00FC78C5">
      <w:pPr>
        <w:pStyle w:val="ConsPlusTitle"/>
        <w:jc w:val="center"/>
      </w:pPr>
      <w:r>
        <w:t>КОТОРЫЕ ВНОСЯТСЯ В ПОРЯДОК ПРИЕМА НА ОБУЧЕНИЕ</w:t>
      </w:r>
    </w:p>
    <w:p w:rsidR="00FC78C5" w:rsidRDefault="00FC78C5">
      <w:pPr>
        <w:pStyle w:val="ConsPlusTitle"/>
        <w:jc w:val="center"/>
      </w:pPr>
      <w:r>
        <w:t>ПО ОБРАЗОВАТЕЛЬНЫМ ПРОГРАММАМ НАЧАЛЬНОГО ОБЩЕГО, ОСНОВНОГО</w:t>
      </w:r>
    </w:p>
    <w:p w:rsidR="00FC78C5" w:rsidRDefault="00FC78C5">
      <w:pPr>
        <w:pStyle w:val="ConsPlusTitle"/>
        <w:jc w:val="center"/>
      </w:pPr>
      <w:r>
        <w:lastRenderedPageBreak/>
        <w:t>ОБЩЕГО И СРЕДНЕГО ОБЩЕГО ОБРАЗОВАНИЯ, УТВЕРЖДЕННЫЙ ПРИКАЗОМ</w:t>
      </w:r>
    </w:p>
    <w:p w:rsidR="00FC78C5" w:rsidRDefault="00FC78C5">
      <w:pPr>
        <w:pStyle w:val="ConsPlusTitle"/>
        <w:jc w:val="center"/>
      </w:pPr>
      <w:r>
        <w:t>МИНИСТЕРСТВА ПРОСВЕЩЕНИЯ РОССИЙСКОЙ ФЕДЕРАЦИИ</w:t>
      </w:r>
    </w:p>
    <w:p w:rsidR="00FC78C5" w:rsidRDefault="00FC78C5">
      <w:pPr>
        <w:pStyle w:val="ConsPlusTitle"/>
        <w:jc w:val="center"/>
      </w:pPr>
      <w:r>
        <w:t>ОТ 2 СЕНТЯБРЯ 2020 Г. N 458</w:t>
      </w:r>
    </w:p>
    <w:p w:rsidR="00FC78C5" w:rsidRDefault="00FC78C5">
      <w:pPr>
        <w:pStyle w:val="ConsPlusNormal"/>
        <w:jc w:val="both"/>
      </w:pPr>
    </w:p>
    <w:p w:rsidR="00FC78C5" w:rsidRDefault="00FC78C5">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FC78C5" w:rsidRDefault="00FC78C5">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
    <w:p w:rsidR="00FC78C5" w:rsidRDefault="00FC78C5">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FC78C5" w:rsidRDefault="00FC78C5">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FC78C5" w:rsidRDefault="00FC78C5">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FC78C5" w:rsidRDefault="00FC78C5">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FC78C5" w:rsidRDefault="00FC78C5">
      <w:pPr>
        <w:pStyle w:val="ConsPlusNormal"/>
        <w:spacing w:before="220"/>
        <w:ind w:firstLine="540"/>
        <w:jc w:val="both"/>
      </w:pPr>
      <w:r>
        <w:t>в электронной форме посредством ЕПГУ;</w:t>
      </w:r>
    </w:p>
    <w:p w:rsidR="00FC78C5" w:rsidRDefault="00FC78C5">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FC78C5" w:rsidRDefault="00FC78C5">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FC78C5" w:rsidRDefault="00FC78C5">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C78C5" w:rsidRDefault="00FC78C5">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78C5" w:rsidRDefault="00FC78C5">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w:t>
      </w:r>
      <w:r>
        <w:lastRenderedPageBreak/>
        <w:t>образования (далее - тестирование).</w:t>
      </w:r>
    </w:p>
    <w:p w:rsidR="00FC78C5" w:rsidRDefault="00FC78C5">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FC78C5" w:rsidRDefault="00FC78C5">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C78C5" w:rsidRDefault="00FC78C5">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FC78C5" w:rsidRDefault="00FC78C5">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FC78C5" w:rsidRDefault="00FC78C5">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C78C5" w:rsidRDefault="00FC78C5">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FC78C5" w:rsidRDefault="00FC78C5">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w:t>
      </w:r>
      <w:r>
        <w:lastRenderedPageBreak/>
        <w:t>гражданства на пребывание (проживание) в Российской Федерации) &lt;29(1)&gt;;</w:t>
      </w:r>
    </w:p>
    <w:p w:rsidR="00FC78C5" w:rsidRDefault="00FC78C5">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C78C5" w:rsidRDefault="00FC78C5">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C78C5" w:rsidRDefault="00FC78C5">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FC78C5" w:rsidRDefault="00FC78C5">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C78C5" w:rsidRDefault="00FC78C5">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FC78C5" w:rsidRDefault="00FC78C5">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FC78C5" w:rsidRDefault="00FC78C5">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C78C5" w:rsidRDefault="00FC78C5">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FC78C5" w:rsidRDefault="00FC78C5">
      <w:pPr>
        <w:pStyle w:val="ConsPlusNormal"/>
        <w:spacing w:before="220"/>
        <w:ind w:firstLine="540"/>
        <w:jc w:val="both"/>
      </w:pPr>
      <w:r>
        <w:t>копия свидетельства о рождении ребенка;</w:t>
      </w:r>
    </w:p>
    <w:p w:rsidR="00FC78C5" w:rsidRDefault="00FC78C5">
      <w:pPr>
        <w:pStyle w:val="ConsPlusNormal"/>
        <w:spacing w:before="220"/>
        <w:ind w:firstLine="540"/>
        <w:jc w:val="both"/>
      </w:pPr>
      <w:r>
        <w:t>копия паспорта;</w:t>
      </w:r>
    </w:p>
    <w:p w:rsidR="00FC78C5" w:rsidRDefault="00FC78C5">
      <w:pPr>
        <w:pStyle w:val="ConsPlusNormal"/>
        <w:spacing w:before="220"/>
        <w:ind w:firstLine="540"/>
        <w:jc w:val="both"/>
      </w:pPr>
      <w:r>
        <w:lastRenderedPageBreak/>
        <w:t>справку о регистрации по месту жительства.</w:t>
      </w:r>
    </w:p>
    <w:p w:rsidR="00FC78C5" w:rsidRDefault="00FC78C5">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FC78C5" w:rsidRDefault="00FC78C5">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FC78C5" w:rsidRDefault="00FC78C5">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FC78C5" w:rsidRDefault="00FC78C5">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FC78C5" w:rsidRDefault="00FC78C5">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FC78C5" w:rsidRDefault="00FC78C5">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FC78C5" w:rsidRDefault="00FC78C5">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FC78C5" w:rsidRDefault="00FC78C5">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FC78C5" w:rsidRDefault="00FC78C5">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FC78C5" w:rsidRDefault="00FC78C5">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FC78C5" w:rsidRDefault="00FC78C5">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FC78C5" w:rsidRDefault="00FC78C5">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C78C5" w:rsidRDefault="00FC78C5">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C78C5" w:rsidRDefault="00FC78C5">
      <w:pPr>
        <w:pStyle w:val="ConsPlusNormal"/>
        <w:jc w:val="both"/>
      </w:pPr>
    </w:p>
    <w:p w:rsidR="00FC78C5" w:rsidRDefault="00FC78C5">
      <w:pPr>
        <w:pStyle w:val="ConsPlusNormal"/>
        <w:jc w:val="both"/>
      </w:pPr>
    </w:p>
    <w:p w:rsidR="00FC78C5" w:rsidRDefault="00FC78C5">
      <w:pPr>
        <w:pStyle w:val="ConsPlusNormal"/>
        <w:pBdr>
          <w:bottom w:val="single" w:sz="6" w:space="0" w:color="auto"/>
        </w:pBdr>
        <w:spacing w:before="100" w:after="100"/>
        <w:jc w:val="both"/>
        <w:rPr>
          <w:sz w:val="2"/>
          <w:szCs w:val="2"/>
        </w:rPr>
      </w:pPr>
    </w:p>
    <w:p w:rsidR="004B2F4F" w:rsidRDefault="004B2F4F"/>
    <w:sectPr w:rsidR="004B2F4F" w:rsidSect="00C6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C5"/>
    <w:rsid w:val="002F4AE3"/>
    <w:rsid w:val="004B2F4F"/>
    <w:rsid w:val="00FC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829&amp;dst=100014" TargetMode="External"/><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3" Type="http://schemas.openxmlformats.org/officeDocument/2006/relationships/settings" Target="settings.xm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Прокушева Наталия Александровна</dc:creator>
  <cp:lastModifiedBy>user</cp:lastModifiedBy>
  <cp:revision>2</cp:revision>
  <dcterms:created xsi:type="dcterms:W3CDTF">2025-04-29T09:17:00Z</dcterms:created>
  <dcterms:modified xsi:type="dcterms:W3CDTF">2025-04-29T09:17:00Z</dcterms:modified>
</cp:coreProperties>
</file>