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7 «Б» класса на 28 декабря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930"/>
        <w:gridCol w:w="1530"/>
        <w:gridCol w:w="1380"/>
        <w:gridCol w:w="2220"/>
        <w:gridCol w:w="3930"/>
        <w:gridCol w:w="3030"/>
        <w:tblGridChange w:id="0">
          <w:tblGrid>
            <w:gridCol w:w="945"/>
            <w:gridCol w:w="810"/>
            <w:gridCol w:w="930"/>
            <w:gridCol w:w="1530"/>
            <w:gridCol w:w="1380"/>
            <w:gridCol w:w="2220"/>
            <w:gridCol w:w="3930"/>
            <w:gridCol w:w="30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28.12.2020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Поколение высоких технологий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гр. Конференция zoom (логин и пароль будут отправлены в беседу вконтакте).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в учебнике и выписать правило Способы выражения будущего стр. GR. 4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4 стр. 49(выбрать верную форму)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1"/>
                <w:szCs w:val="21"/>
                <w:highlight w:val="white"/>
                <w:rtl w:val="0"/>
              </w:rPr>
              <w:t xml:space="preserve">Прочитать правило Придаточные предложения условия стр. GR.4 - 5 и выполнить в учебнике № 5 стр. 49 к следующему уроку. Прислать в личные сообщения 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https://vk.com/id135033960</w:t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Поколение высоких технологий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</w:t>
              <w:br w:type="textWrapping"/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https://youtu.be/6Xb1bEHyIlc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49 №6 (выписать фразы с переводом)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Отряды млекопитающих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https://www.youtube.com/watch?v=OpgWyevcMr4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стр. 164-170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одночленов. Возведение одночлена в степень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отправлены в беседу вконтакте).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472, 474, 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473, 475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Эстафеты и игры с использованием гимнастических упражнений и инвентаря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https://youtu.be/550pg13fanE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Не с наречиями на –о, -е.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отправлены в беседу вконтакте).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учебник учить правило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с наречиями на –о, -е.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«Дикий помещик». Смысл названия сказки. Гротеск.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отправлены в беседу вконтакте).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читать произведение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«Дикий помещик».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6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youtube.com/watch?v=Td7QW9K4lKc" TargetMode="External"/><Relationship Id="rId9" Type="http://schemas.openxmlformats.org/officeDocument/2006/relationships/hyperlink" Target="https://www.youtube.com/watch?v=9i27FU9NIwM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6Xb1bEHyIlc" TargetMode="External"/><Relationship Id="rId7" Type="http://schemas.openxmlformats.org/officeDocument/2006/relationships/hyperlink" Target="https://www.youtube.com/watch?v=OpgWyevcMr4" TargetMode="External"/><Relationship Id="rId8" Type="http://schemas.openxmlformats.org/officeDocument/2006/relationships/hyperlink" Target="https://youtu.be/550pg13f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